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BC" w:rsidRPr="004622BC" w:rsidRDefault="004622BC" w:rsidP="004622BC">
      <w:pPr>
        <w:pStyle w:val="Annexetitre"/>
        <w:jc w:val="right"/>
        <w:rPr>
          <w:i/>
        </w:rPr>
      </w:pPr>
      <w:r w:rsidRPr="004622BC">
        <w:rPr>
          <w:i/>
        </w:rPr>
        <w:t>Образец №2</w:t>
      </w:r>
    </w:p>
    <w:p w:rsidR="004141DF" w:rsidRPr="004622BC" w:rsidRDefault="00934AC1" w:rsidP="004622BC">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bookmarkStart w:id="0" w:name="_GoBack"/>
      <w:bookmarkEnd w:id="0"/>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794BF5" w:rsidRDefault="00934AC1" w:rsidP="00934AC1">
            <w:r w:rsidRPr="00794BF5">
              <w:rPr>
                <w:sz w:val="22"/>
              </w:rPr>
              <w:t xml:space="preserve">Име: </w:t>
            </w:r>
          </w:p>
        </w:tc>
        <w:tc>
          <w:tcPr>
            <w:tcW w:w="4645" w:type="dxa"/>
            <w:shd w:val="clear" w:color="auto" w:fill="auto"/>
          </w:tcPr>
          <w:p w:rsidR="00934AC1" w:rsidRPr="00794BF5" w:rsidRDefault="00954D17" w:rsidP="00D83393">
            <w:r>
              <w:rPr>
                <w:sz w:val="22"/>
              </w:rPr>
              <w:t>С</w:t>
            </w:r>
            <w:r w:rsidR="002730C0">
              <w:rPr>
                <w:sz w:val="22"/>
              </w:rPr>
              <w:t xml:space="preserve">ЗДП ДП ТП </w:t>
            </w:r>
            <w:r w:rsidR="006E27B2">
              <w:rPr>
                <w:sz w:val="22"/>
              </w:rPr>
              <w:t xml:space="preserve">Държавно горско стопанство </w:t>
            </w:r>
            <w:r w:rsidR="00D83393">
              <w:rPr>
                <w:sz w:val="22"/>
              </w:rPr>
              <w:t>Никопол</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6E27B2"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83393" w:rsidRDefault="00D83393" w:rsidP="00B166F2">
            <w:pPr>
              <w:rPr>
                <w:szCs w:val="24"/>
              </w:rPr>
            </w:pPr>
            <w:r w:rsidRPr="00D83393">
              <w:rPr>
                <w:rFonts w:ascii="Arial" w:hAnsi="Arial" w:cs="Arial"/>
                <w:szCs w:val="24"/>
              </w:rPr>
              <w:t>„</w:t>
            </w:r>
            <w:r w:rsidRPr="00D83393">
              <w:rPr>
                <w:rFonts w:eastAsia="Times New Roman"/>
                <w:color w:val="000000"/>
                <w:szCs w:val="24"/>
              </w:rPr>
              <w:t>Поддръжка, ремонт и резервни части за компютърна техника за срок от 36 месеца за нуждите на ТП ДГС Никопол</w:t>
            </w:r>
            <w:r w:rsidRPr="00D83393">
              <w:rPr>
                <w:szCs w:val="24"/>
              </w:rPr>
              <w:t>”</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разположение в електронен формат, моля, </w:t>
            </w:r>
            <w:r w:rsidRPr="00A3003C">
              <w:rPr>
                <w:i/>
                <w:sz w:val="22"/>
              </w:rPr>
              <w:lastRenderedPageBreak/>
              <w:t>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t>a) [……]</w:t>
            </w:r>
            <w:r w:rsidRPr="00D17798">
              <w:br/>
            </w:r>
            <w:r w:rsidRPr="00D17798">
              <w:lastRenderedPageBreak/>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w:t>
            </w:r>
            <w:r w:rsidRPr="00827C5F">
              <w:rPr>
                <w:sz w:val="22"/>
              </w:rPr>
              <w:lastRenderedPageBreak/>
              <w:t>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76" w:rsidRDefault="001A1576" w:rsidP="00934AC1">
      <w:pPr>
        <w:spacing w:before="0" w:after="0"/>
      </w:pPr>
      <w:r>
        <w:separator/>
      </w:r>
    </w:p>
  </w:endnote>
  <w:endnote w:type="continuationSeparator" w:id="0">
    <w:p w:rsidR="001A1576" w:rsidRDefault="001A157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CB75E2">
      <w:rPr>
        <w:noProof/>
      </w:rPr>
      <w:t>16</w:t>
    </w:r>
    <w:r>
      <w:fldChar w:fldCharType="end"/>
    </w:r>
    <w:r>
      <w:tab/>
    </w:r>
    <w:fldSimple w:instr=" DOCVARIABLE &quot;LW_Confidence&quot; \* MERGEFORMAT ">
      <w:r w:rsidR="00D83393">
        <w:t xml:space="preserve"> </w:t>
      </w:r>
    </w:fldSimple>
    <w:r w:rsidRPr="00446950">
      <w:tab/>
    </w:r>
    <w:r w:rsidRPr="00446950">
      <w:rPr>
        <w:rFonts w:ascii="Arial" w:hAnsi="Arial" w:cs="Arial"/>
        <w:b/>
        <w:sz w:val="48"/>
      </w:rPr>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76" w:rsidRDefault="001A1576" w:rsidP="00934AC1">
      <w:pPr>
        <w:spacing w:before="0" w:after="0"/>
      </w:pPr>
      <w:r>
        <w:separator/>
      </w:r>
    </w:p>
  </w:footnote>
  <w:footnote w:type="continuationSeparator" w:id="0">
    <w:p w:rsidR="001A1576" w:rsidRDefault="001A1576"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 w:numId="4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C18CE"/>
    <w:rsid w:val="000C29F2"/>
    <w:rsid w:val="000D68BD"/>
    <w:rsid w:val="000D7114"/>
    <w:rsid w:val="000F0681"/>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862D5"/>
    <w:rsid w:val="003D5E6C"/>
    <w:rsid w:val="003E127F"/>
    <w:rsid w:val="004141DF"/>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273C"/>
    <w:rsid w:val="004E6C77"/>
    <w:rsid w:val="004F290F"/>
    <w:rsid w:val="004F5E8D"/>
    <w:rsid w:val="004F75F4"/>
    <w:rsid w:val="004F7AB5"/>
    <w:rsid w:val="00515CF9"/>
    <w:rsid w:val="0054356F"/>
    <w:rsid w:val="0055395B"/>
    <w:rsid w:val="00592FEC"/>
    <w:rsid w:val="005950CF"/>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80AF7"/>
    <w:rsid w:val="00793F9F"/>
    <w:rsid w:val="00794BF5"/>
    <w:rsid w:val="007A1A5F"/>
    <w:rsid w:val="007A56CB"/>
    <w:rsid w:val="007D43B2"/>
    <w:rsid w:val="007F071F"/>
    <w:rsid w:val="00804540"/>
    <w:rsid w:val="00816CF6"/>
    <w:rsid w:val="00817206"/>
    <w:rsid w:val="00822E2D"/>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81791"/>
    <w:rsid w:val="00B86259"/>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B1E26"/>
    <w:rsid w:val="00CB75E2"/>
    <w:rsid w:val="00CD03BF"/>
    <w:rsid w:val="00CD0473"/>
    <w:rsid w:val="00D15D85"/>
    <w:rsid w:val="00D17798"/>
    <w:rsid w:val="00D43449"/>
    <w:rsid w:val="00D728C6"/>
    <w:rsid w:val="00D737A8"/>
    <w:rsid w:val="00D81BDA"/>
    <w:rsid w:val="00D83393"/>
    <w:rsid w:val="00D916BB"/>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7C96"/>
    <w:rsid w:val="00F103F6"/>
    <w:rsid w:val="00F53B19"/>
    <w:rsid w:val="00F547B1"/>
    <w:rsid w:val="00F61143"/>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E1835F-3689-4009-B4D9-432D7B7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20" w:after="120"/>
      <w:jc w:val="both"/>
    </w:pPr>
    <w:rPr>
      <w:rFonts w:ascii="Times New Roman" w:hAnsi="Times New Roman"/>
      <w:sz w:val="24"/>
      <w:szCs w:val="22"/>
      <w:lang w:val="bg-BG" w:eastAsia="bg-BG"/>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eastAsia="x-none"/>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eastAsia="x-none"/>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eastAsia="x-none"/>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181329"/>
    <w:rPr>
      <w:sz w:val="16"/>
      <w:szCs w:val="16"/>
      <w:lang w:val="bg-BG" w:eastAsia="bg-BG"/>
    </w:rPr>
  </w:style>
  <w:style w:type="paragraph" w:styleId="a6">
    <w:name w:val="annotation text"/>
    <w:basedOn w:val="a1"/>
    <w:link w:val="a7"/>
    <w:unhideWhenUsed/>
    <w:rsid w:val="00181329"/>
    <w:rPr>
      <w:sz w:val="20"/>
      <w:szCs w:val="20"/>
    </w:rPr>
  </w:style>
  <w:style w:type="character" w:customStyle="1" w:styleId="a7">
    <w:name w:val="Текст на коментар Знак"/>
    <w:link w:val="a6"/>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eastAsia="x-none"/>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eastAsia="x-none"/>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eastAsia="x-none"/>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12">
    <w:name w:val="Font Style12"/>
    <w:uiPriority w:val="99"/>
    <w:rsid w:val="00DF0E1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80AB-9F75-4EBA-9789-A508D182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Pages>
  <Words>4540</Words>
  <Characters>25880</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адв. Ангел Стамболийски</cp:lastModifiedBy>
  <cp:revision>3</cp:revision>
  <cp:lastPrinted>2019-02-25T10:35:00Z</cp:lastPrinted>
  <dcterms:created xsi:type="dcterms:W3CDTF">2019-06-02T06:25:00Z</dcterms:created>
  <dcterms:modified xsi:type="dcterms:W3CDTF">2019-06-02T06:25:00Z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